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F5E" w:rsidRDefault="00E17F5E" w:rsidP="00A54C7E">
      <w:pPr>
        <w:pStyle w:val="Ttulo1"/>
        <w:rPr>
          <w:lang w:val="es-ES"/>
        </w:rPr>
      </w:pPr>
      <w:r>
        <w:rPr>
          <w:lang w:val="es-ES"/>
        </w:rPr>
        <w:t>Reforma laboral</w:t>
      </w:r>
      <w:r w:rsidR="007C3236">
        <w:rPr>
          <w:lang w:val="es-ES"/>
        </w:rPr>
        <w:t xml:space="preserve">: </w:t>
      </w:r>
      <w:r>
        <w:rPr>
          <w:lang w:val="es-ES"/>
        </w:rPr>
        <w:t xml:space="preserve">pagos a </w:t>
      </w:r>
      <w:r w:rsidR="00DE0955">
        <w:rPr>
          <w:lang w:val="es-ES"/>
        </w:rPr>
        <w:t xml:space="preserve">los </w:t>
      </w:r>
      <w:r>
        <w:rPr>
          <w:lang w:val="es-ES"/>
        </w:rPr>
        <w:t xml:space="preserve">aprendices del </w:t>
      </w:r>
      <w:r w:rsidR="00DE0955">
        <w:rPr>
          <w:lang w:val="es-ES"/>
        </w:rPr>
        <w:t>SENA</w:t>
      </w:r>
      <w:r>
        <w:rPr>
          <w:lang w:val="es-ES"/>
        </w:rPr>
        <w:t xml:space="preserve"> ahora se tendrá</w:t>
      </w:r>
      <w:r w:rsidR="00DE0955">
        <w:rPr>
          <w:lang w:val="es-ES"/>
        </w:rPr>
        <w:t>n</w:t>
      </w:r>
      <w:r>
        <w:rPr>
          <w:lang w:val="es-ES"/>
        </w:rPr>
        <w:t xml:space="preserve"> que reportar en nómina electrónica</w:t>
      </w:r>
    </w:p>
    <w:p w:rsidR="00964D29" w:rsidRDefault="00964D29" w:rsidP="00964D29">
      <w:pPr>
        <w:rPr>
          <w:lang w:val="es-ES"/>
        </w:rPr>
      </w:pPr>
      <w:r w:rsidRPr="00964D29">
        <w:rPr>
          <w:noProof/>
          <w:color w:val="FF0000"/>
          <w:lang w:val="es-ES"/>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400946</wp:posOffset>
                </wp:positionV>
                <wp:extent cx="5642517" cy="966439"/>
                <wp:effectExtent l="0" t="0" r="9525" b="12065"/>
                <wp:wrapNone/>
                <wp:docPr id="1334548864" name="Cuadro de texto 1"/>
                <wp:cNvGraphicFramePr/>
                <a:graphic xmlns:a="http://schemas.openxmlformats.org/drawingml/2006/main">
                  <a:graphicData uri="http://schemas.microsoft.com/office/word/2010/wordprocessingShape">
                    <wps:wsp>
                      <wps:cNvSpPr txBox="1"/>
                      <wps:spPr>
                        <a:xfrm>
                          <a:off x="0" y="0"/>
                          <a:ext cx="5642517" cy="966439"/>
                        </a:xfrm>
                        <a:prstGeom prst="rect">
                          <a:avLst/>
                        </a:prstGeom>
                        <a:solidFill>
                          <a:schemeClr val="lt1"/>
                        </a:solidFill>
                        <a:ln w="6350">
                          <a:solidFill>
                            <a:prstClr val="black"/>
                          </a:solidFill>
                        </a:ln>
                      </wps:spPr>
                      <wps:txbx>
                        <w:txbxContent>
                          <w:p w:rsidR="00A54C7E" w:rsidRPr="00A54C7E" w:rsidRDefault="00A54C7E">
                            <w:pPr>
                              <w:rPr>
                                <w:lang w:val="es-ES"/>
                              </w:rPr>
                            </w:pPr>
                            <w:r>
                              <w:rPr>
                                <w:lang w:val="es-ES"/>
                              </w:rPr>
                              <w:t>Antes de la Ley 2466 de junio de 2025 los pagos a los aprendices no tenían característica de un pago laboral y no se tenían que reportar en el documento de nómina electrónica para poder deducirlos. Luego de dicha Ley, la situación cambia y ahora sí se tendrán que incluir en dicho documento para poder deducirlos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2.15pt;margin-top:31.55pt;width:444.3pt;height:76.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" fillcolor="white [3201]" strokeweight=".5pt">
                <v:textbox>
                  <w:txbxContent>
                    <w:p w:rsidR="00A54C7E" w:rsidRPr="00A54C7E" w:rsidRDefault="00A54C7E">
                      <w:pPr>
                        <w:rPr>
                          <w:lang w:val="es-ES"/>
                        </w:rPr>
                      </w:pPr>
                      <w:r>
                        <w:rPr>
                          <w:lang w:val="es-ES"/>
                        </w:rPr>
                        <w:t>Antes de la Ley 2466 de junio de 2025 los pagos a los aprendices no tenían característica de un pago laboral y no se tenían que reportar en el documento de nómina electrónica para poder deducirlos. Luego de dicha Ley, la situación cambia y ahora sí se tendrán que incluir en dicho documento para poder deducirlos</w:t>
                      </w:r>
                    </w:p>
                  </w:txbxContent>
                </v:textbox>
              </v:shape>
            </w:pict>
          </mc:Fallback>
        </mc:AlternateContent>
      </w:r>
      <w:r w:rsidRPr="00964D29">
        <w:rPr>
          <w:color w:val="FF0000"/>
          <w:lang w:val="es-ES"/>
        </w:rPr>
        <w:t xml:space="preserve">(elaborado en julio </w:t>
      </w:r>
      <w:r>
        <w:rPr>
          <w:color w:val="FF0000"/>
          <w:lang w:val="es-ES"/>
        </w:rPr>
        <w:t xml:space="preserve">1 </w:t>
      </w:r>
      <w:r w:rsidRPr="00964D29">
        <w:rPr>
          <w:color w:val="FF0000"/>
          <w:lang w:val="es-ES"/>
        </w:rPr>
        <w:t>de 2025)</w:t>
      </w:r>
    </w:p>
    <w:p w:rsidR="00DE0955" w:rsidRDefault="00DE0955">
      <w:pPr>
        <w:rPr>
          <w:lang w:val="es-ES"/>
        </w:rPr>
      </w:pPr>
    </w:p>
    <w:p w:rsidR="00A54C7E" w:rsidRDefault="00A54C7E">
      <w:pPr>
        <w:rPr>
          <w:lang w:val="es-ES"/>
        </w:rPr>
      </w:pPr>
    </w:p>
    <w:p w:rsidR="00A54C7E" w:rsidRDefault="00A54C7E">
      <w:pPr>
        <w:rPr>
          <w:lang w:val="es-ES"/>
        </w:rPr>
      </w:pPr>
    </w:p>
    <w:p w:rsidR="00A54C7E" w:rsidRDefault="00A54C7E">
      <w:pPr>
        <w:rPr>
          <w:lang w:val="es-ES"/>
        </w:rPr>
      </w:pPr>
    </w:p>
    <w:p w:rsidR="00A54C7E" w:rsidRDefault="00A54C7E" w:rsidP="00DE0955">
      <w:pPr>
        <w:jc w:val="both"/>
        <w:rPr>
          <w:rFonts w:ascii="Cambria" w:hAnsi="Cambria"/>
          <w:lang w:val="es-ES"/>
        </w:rPr>
      </w:pPr>
    </w:p>
    <w:p w:rsidR="00A54C7E" w:rsidRDefault="00A54C7E" w:rsidP="00DE0955">
      <w:pPr>
        <w:jc w:val="both"/>
        <w:rPr>
          <w:rFonts w:ascii="Cambria" w:hAnsi="Cambria"/>
          <w:lang w:val="es-ES"/>
        </w:rPr>
      </w:pPr>
    </w:p>
    <w:p w:rsidR="00964D29" w:rsidRDefault="00964D29" w:rsidP="00DE0955">
      <w:pPr>
        <w:jc w:val="both"/>
        <w:rPr>
          <w:rFonts w:ascii="Cambria" w:hAnsi="Cambria"/>
          <w:lang w:val="es-ES"/>
        </w:rPr>
      </w:pPr>
    </w:p>
    <w:p w:rsidR="00DE0955" w:rsidRDefault="00DE0955" w:rsidP="00DE0955">
      <w:pPr>
        <w:jc w:val="both"/>
        <w:rPr>
          <w:rFonts w:ascii="Cambria" w:hAnsi="Cambria"/>
          <w:lang w:val="es-ES"/>
        </w:rPr>
      </w:pPr>
      <w:r>
        <w:rPr>
          <w:rFonts w:ascii="Cambria" w:hAnsi="Cambria"/>
          <w:lang w:val="es-ES"/>
        </w:rPr>
        <w:t xml:space="preserve">La recientemente expedida Reforma Laboral,  </w:t>
      </w:r>
      <w:hyperlink r:id="rId4" w:history="1">
        <w:r w:rsidRPr="00B3293F">
          <w:rPr>
            <w:rStyle w:val="Hipervnculo"/>
            <w:rFonts w:ascii="Cambria" w:hAnsi="Cambria"/>
            <w:lang w:val="es-ES"/>
          </w:rPr>
          <w:t>contenida en la Ley 2466 de junio 25 de 2025</w:t>
        </w:r>
      </w:hyperlink>
      <w:r>
        <w:rPr>
          <w:rFonts w:ascii="Cambria" w:hAnsi="Cambria"/>
          <w:lang w:val="es-ES"/>
        </w:rPr>
        <w:t>, introdujo un cambio muy importante en el manejo de las pagos o abonos en cuenta efectuados a los aprendices del SENA el cual tiene una repercusión directa en el campo tributario.</w:t>
      </w:r>
    </w:p>
    <w:p w:rsidR="00DE0955" w:rsidRDefault="00DE0955" w:rsidP="00DE0955">
      <w:pPr>
        <w:jc w:val="both"/>
        <w:rPr>
          <w:rFonts w:ascii="Cambria" w:hAnsi="Cambria"/>
          <w:lang w:val="es-ES"/>
        </w:rPr>
      </w:pPr>
    </w:p>
    <w:p w:rsidR="00DE0955" w:rsidRDefault="00DE0955" w:rsidP="00DE0955">
      <w:pPr>
        <w:jc w:val="both"/>
        <w:rPr>
          <w:rFonts w:ascii="Cambria" w:hAnsi="Cambria"/>
          <w:lang w:val="es-ES"/>
        </w:rPr>
      </w:pPr>
      <w:r>
        <w:rPr>
          <w:rFonts w:ascii="Cambria" w:hAnsi="Cambria"/>
          <w:lang w:val="es-ES"/>
        </w:rPr>
        <w:t xml:space="preserve">En efecto, con el artículo 21 de </w:t>
      </w:r>
      <w:r w:rsidR="00B3293F">
        <w:rPr>
          <w:rFonts w:ascii="Cambria" w:hAnsi="Cambria"/>
          <w:lang w:val="es-ES"/>
        </w:rPr>
        <w:t xml:space="preserve">la mencionada Ley </w:t>
      </w:r>
      <w:r>
        <w:rPr>
          <w:rFonts w:ascii="Cambria" w:hAnsi="Cambria"/>
          <w:lang w:val="es-ES"/>
        </w:rPr>
        <w:t>se modificó el artículo 81 del Código sustantivo del Trabajo y se dispuso que los pagos o abonos en cuenta que se realice a dichos aprendices pasan a tener, a partir de junio 25 de 2025, la categoría de pagos laborales pues hasta antes de la Ley los pagos que se les realizaban no tenían esa característica y solo se consideran como simples apoyos de sostenimiento</w:t>
      </w:r>
      <w:r w:rsidR="00B3293F">
        <w:rPr>
          <w:rFonts w:ascii="Cambria" w:hAnsi="Cambria"/>
          <w:lang w:val="es-ES"/>
        </w:rPr>
        <w:t xml:space="preserve"> (</w:t>
      </w:r>
      <w:hyperlink r:id="rId5" w:anchor="30" w:history="1">
        <w:r w:rsidR="00B3293F" w:rsidRPr="00B3293F">
          <w:rPr>
            <w:rStyle w:val="Hipervnculo"/>
            <w:rFonts w:ascii="Cambria" w:hAnsi="Cambria"/>
            <w:lang w:val="es-ES"/>
          </w:rPr>
          <w:t>ver artículos 30 a 41 de la Ley 789 de 2002</w:t>
        </w:r>
      </w:hyperlink>
      <w:r w:rsidR="00B3293F">
        <w:rPr>
          <w:rFonts w:ascii="Cambria" w:hAnsi="Cambria"/>
          <w:lang w:val="es-ES"/>
        </w:rPr>
        <w:t>)</w:t>
      </w:r>
    </w:p>
    <w:p w:rsidR="00DE0955" w:rsidRDefault="00DE0955" w:rsidP="00DE0955">
      <w:pPr>
        <w:jc w:val="both"/>
        <w:rPr>
          <w:rFonts w:ascii="Cambria" w:hAnsi="Cambria"/>
          <w:lang w:val="es-ES"/>
        </w:rPr>
      </w:pPr>
    </w:p>
    <w:p w:rsidR="00DE0955" w:rsidRDefault="00DE0955" w:rsidP="00DE0955">
      <w:pPr>
        <w:jc w:val="both"/>
        <w:rPr>
          <w:rFonts w:ascii="Cambria" w:hAnsi="Cambria"/>
          <w:lang w:val="es-ES"/>
        </w:rPr>
      </w:pPr>
      <w:r>
        <w:rPr>
          <w:rFonts w:ascii="Cambria" w:hAnsi="Cambria"/>
          <w:lang w:val="es-ES"/>
        </w:rPr>
        <w:t>Para demostrar lo anterior, a continuación se presenta de forma comparativa el texto del artículo 81 del Código Sustantivo del Trabajo (y hemos subrayado las partes del texto de la norma donde se introdujeron los cambios</w:t>
      </w:r>
    </w:p>
    <w:p w:rsidR="00DE0955" w:rsidRDefault="00DE0955" w:rsidP="00DE0955">
      <w:pPr>
        <w:jc w:val="both"/>
        <w:rPr>
          <w:rFonts w:ascii="Cambria" w:hAnsi="Cambria"/>
          <w:lang w:val="es-ES"/>
        </w:rPr>
      </w:pPr>
    </w:p>
    <w:tbl>
      <w:tblPr>
        <w:tblStyle w:val="Tablaconcuadrcula"/>
        <w:tblW w:w="0" w:type="auto"/>
        <w:tblLook w:val="04A0" w:firstRow="1" w:lastRow="0" w:firstColumn="1" w:lastColumn="0" w:noHBand="0" w:noVBand="1"/>
      </w:tblPr>
      <w:tblGrid>
        <w:gridCol w:w="4414"/>
        <w:gridCol w:w="4414"/>
      </w:tblGrid>
      <w:tr w:rsidR="00DE0955" w:rsidTr="00DE0955">
        <w:tc>
          <w:tcPr>
            <w:tcW w:w="4414" w:type="dxa"/>
          </w:tcPr>
          <w:p w:rsidR="00DE0955" w:rsidRDefault="00DE0955" w:rsidP="00DE0955">
            <w:pPr>
              <w:jc w:val="both"/>
              <w:rPr>
                <w:rFonts w:ascii="Cambria" w:hAnsi="Cambria"/>
              </w:rPr>
            </w:pPr>
            <w:r>
              <w:rPr>
                <w:rFonts w:ascii="Cambria" w:hAnsi="Cambria"/>
              </w:rPr>
              <w:t>Versión anterior de la Norma</w:t>
            </w:r>
          </w:p>
        </w:tc>
        <w:tc>
          <w:tcPr>
            <w:tcW w:w="4414" w:type="dxa"/>
          </w:tcPr>
          <w:p w:rsidR="00DE0955" w:rsidRDefault="00DE0955" w:rsidP="00DE0955">
            <w:pPr>
              <w:jc w:val="both"/>
              <w:rPr>
                <w:rFonts w:ascii="Cambria" w:hAnsi="Cambria"/>
              </w:rPr>
            </w:pPr>
            <w:r>
              <w:rPr>
                <w:rFonts w:ascii="Cambria" w:hAnsi="Cambria"/>
              </w:rPr>
              <w:t>Nueva versión de la norma</w:t>
            </w:r>
          </w:p>
        </w:tc>
      </w:tr>
      <w:tr w:rsidR="00DE0955" w:rsidTr="00DE0955">
        <w:tc>
          <w:tcPr>
            <w:tcW w:w="4414" w:type="dxa"/>
          </w:tcPr>
          <w:p w:rsidR="00DE0955" w:rsidRPr="00951854" w:rsidRDefault="00DE0955" w:rsidP="00DE0955">
            <w:pPr>
              <w:jc w:val="both"/>
              <w:rPr>
                <w:rFonts w:ascii="Cambria" w:hAnsi="Cambria"/>
                <w:b/>
                <w:bCs/>
                <w:sz w:val="16"/>
                <w:szCs w:val="16"/>
              </w:rPr>
            </w:pPr>
            <w:bookmarkStart w:id="0" w:name="81"/>
            <w:r w:rsidRPr="00202AAD">
              <w:rPr>
                <w:rFonts w:ascii="Cambria" w:hAnsi="Cambria"/>
                <w:b/>
                <w:bCs/>
                <w:color w:val="000000" w:themeColor="text1"/>
                <w:sz w:val="16"/>
                <w:szCs w:val="16"/>
              </w:rPr>
              <w:t xml:space="preserve">Articulo 81. </w:t>
            </w:r>
            <w:r w:rsidRPr="00DE0955">
              <w:rPr>
                <w:rFonts w:ascii="Cambria" w:hAnsi="Cambria"/>
                <w:b/>
                <w:bCs/>
                <w:color w:val="000000" w:themeColor="text1"/>
                <w:sz w:val="16"/>
                <w:szCs w:val="16"/>
                <w:u w:val="single"/>
              </w:rPr>
              <w:t>Definición</w:t>
            </w:r>
            <w:r w:rsidRPr="00DE0955">
              <w:rPr>
                <w:rFonts w:ascii="Cambria" w:hAnsi="Cambria"/>
                <w:b/>
                <w:bCs/>
                <w:color w:val="BE9E55"/>
                <w:sz w:val="16"/>
                <w:szCs w:val="16"/>
                <w:u w:val="single"/>
              </w:rPr>
              <w:t>.</w:t>
            </w:r>
            <w:bookmarkEnd w:id="0"/>
            <w:r w:rsidRPr="00951854">
              <w:rPr>
                <w:rFonts w:ascii="Cambria" w:hAnsi="Cambria"/>
                <w:sz w:val="16"/>
                <w:szCs w:val="16"/>
              </w:rPr>
              <w:t> </w:t>
            </w:r>
            <w:r w:rsidR="00B3293F">
              <w:rPr>
                <w:rFonts w:ascii="Cambria" w:hAnsi="Cambria"/>
                <w:sz w:val="16"/>
                <w:szCs w:val="16"/>
              </w:rPr>
              <w:t>(</w:t>
            </w:r>
            <w:r w:rsidRPr="00951854">
              <w:rPr>
                <w:rFonts w:ascii="Cambria" w:hAnsi="Cambria"/>
                <w:sz w:val="16"/>
                <w:szCs w:val="16"/>
              </w:rPr>
              <w:t>Notas del Editor - Derogatoria tácita a partir de la vigencia de la Ley 789 de 2002</w:t>
            </w:r>
            <w:r w:rsidR="00B3293F">
              <w:rPr>
                <w:rFonts w:ascii="Cambria" w:hAnsi="Cambria"/>
                <w:sz w:val="16"/>
                <w:szCs w:val="16"/>
              </w:rPr>
              <w:t>)</w:t>
            </w:r>
            <w:r w:rsidRPr="00951854">
              <w:rPr>
                <w:rFonts w:ascii="Cambria" w:hAnsi="Cambria"/>
                <w:sz w:val="16"/>
                <w:szCs w:val="16"/>
              </w:rPr>
              <w:t xml:space="preserve">. </w:t>
            </w:r>
            <w:r w:rsidRPr="00202AAD">
              <w:rPr>
                <w:rFonts w:ascii="Cambria" w:hAnsi="Cambria"/>
                <w:sz w:val="16"/>
                <w:szCs w:val="16"/>
              </w:rPr>
              <w:t xml:space="preserve">Contrato de aprendizaje es </w:t>
            </w:r>
            <w:r w:rsidRPr="00DE0955">
              <w:rPr>
                <w:rFonts w:ascii="Cambria" w:hAnsi="Cambria"/>
                <w:b/>
                <w:bCs/>
                <w:sz w:val="16"/>
                <w:szCs w:val="16"/>
                <w:u w:val="single"/>
              </w:rPr>
              <w:t>aquel por el cual un empleado se obliga a prestar servicio a un empleador, a cambio de que éste le proporcione los medios para adquirir formación profesional metódica y completa del arte u oficio para cuyo desempeño ha sido contratado, por un tiempo determinado, y le pague el salario convenido</w:t>
            </w:r>
            <w:r w:rsidRPr="00DE0955">
              <w:rPr>
                <w:rFonts w:ascii="Cambria" w:hAnsi="Cambria"/>
                <w:sz w:val="16"/>
                <w:szCs w:val="16"/>
              </w:rPr>
              <w:t>.</w:t>
            </w:r>
          </w:p>
        </w:tc>
        <w:tc>
          <w:tcPr>
            <w:tcW w:w="4414" w:type="dxa"/>
          </w:tcPr>
          <w:p w:rsidR="00DE0955" w:rsidRPr="00DE0955" w:rsidRDefault="00DE0955" w:rsidP="00DE0955">
            <w:pPr>
              <w:jc w:val="both"/>
              <w:rPr>
                <w:rFonts w:ascii="Cambria" w:hAnsi="Cambria"/>
                <w:b/>
                <w:bCs/>
                <w:sz w:val="16"/>
                <w:szCs w:val="16"/>
                <w:u w:val="single"/>
              </w:rPr>
            </w:pPr>
            <w:r w:rsidRPr="00202AAD">
              <w:rPr>
                <w:rStyle w:val="Textoennegrita"/>
                <w:rFonts w:ascii="Cambria" w:hAnsi="Cambria" w:cs="Roboto Slab"/>
                <w:color w:val="464646"/>
                <w:sz w:val="16"/>
                <w:szCs w:val="16"/>
              </w:rPr>
              <w:t xml:space="preserve">Artículo 81. </w:t>
            </w:r>
            <w:r w:rsidRPr="00DE0955">
              <w:rPr>
                <w:rStyle w:val="Textoennegrita"/>
                <w:rFonts w:ascii="Cambria" w:hAnsi="Cambria" w:cs="Roboto Slab"/>
                <w:color w:val="464646"/>
                <w:sz w:val="16"/>
                <w:szCs w:val="16"/>
                <w:u w:val="single"/>
              </w:rPr>
              <w:t>Naturaleza y características de la relación de aprendizaje.</w:t>
            </w:r>
            <w:r w:rsidRPr="00202AAD">
              <w:rPr>
                <w:rFonts w:ascii="Cambria" w:hAnsi="Cambria"/>
                <w:sz w:val="16"/>
                <w:szCs w:val="16"/>
              </w:rPr>
              <w:t> </w:t>
            </w:r>
            <w:r w:rsidRPr="00202AAD">
              <w:rPr>
                <w:rStyle w:val="Textoennegrita"/>
                <w:rFonts w:ascii="Cambria" w:hAnsi="Cambria"/>
                <w:color w:val="FF0000"/>
                <w:sz w:val="16"/>
                <w:szCs w:val="16"/>
              </w:rPr>
              <w:t>(modificado con artículo 21 Ley 2466 de junio 25 de 2025)</w:t>
            </w:r>
            <w:r>
              <w:rPr>
                <w:rStyle w:val="Textoennegrita"/>
                <w:rFonts w:ascii="Cambria" w:hAnsi="Cambria"/>
                <w:color w:val="FF0000"/>
                <w:sz w:val="16"/>
                <w:szCs w:val="16"/>
              </w:rPr>
              <w:t xml:space="preserve">. </w:t>
            </w:r>
            <w:r w:rsidRPr="00DE0955">
              <w:rPr>
                <w:rFonts w:ascii="Cambria" w:hAnsi="Cambria"/>
                <w:b/>
                <w:bCs/>
                <w:sz w:val="16"/>
                <w:szCs w:val="16"/>
                <w:u w:val="single"/>
              </w:rPr>
              <w:t xml:space="preserve">El </w:t>
            </w:r>
            <w:r w:rsidRPr="00202AAD">
              <w:rPr>
                <w:rFonts w:ascii="Cambria" w:hAnsi="Cambria"/>
                <w:sz w:val="16"/>
                <w:szCs w:val="16"/>
              </w:rPr>
              <w:t xml:space="preserve">contrato de aprendizaje es </w:t>
            </w:r>
            <w:r w:rsidRPr="00DE0955">
              <w:rPr>
                <w:rFonts w:ascii="Cambria" w:hAnsi="Cambria"/>
                <w:b/>
                <w:bCs/>
                <w:sz w:val="16"/>
                <w:szCs w:val="16"/>
                <w:u w:val="single"/>
              </w:rPr>
              <w:t>un contrato laboral especial y a término fijo, que se rige por las normas sustantivas del Código Sustantivo del Trabajo, mediante la cual una persona natural desarrolla formación teórica práctica en una entidad autorizada a cambio de que una empresa patrocinadora proporcione los medios para adquirir formación profesional metódica y completa requerida en el oficio, actividad, ocupación o profesión y esto le implique desempeñarse dentro del manejo administrativo, operativo, comercial o financiero propios del giro ordinario de las actividades de la empresa, por cualquier tiempo determinado no superior a tres (3) años, y por esto reciba un apoyo de sostenimiento mensual.</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Son elementos particulares y especiales del contrato de aprendizaje:</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lastRenderedPageBreak/>
              <w:t>a) La finalidad es la de facilitar la formación del aprendiz. de las ocupaciones o profesiones en las que se refiere el presente artículo;</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b) La subordinación está referida exclusivamente a las actividades propias del aprendizaje;</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c) La formación se recibe a título estrictamente personal;</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d) El apoyo del sostenimiento mensual tiene como fin garantizar el proceso de aprendizaje. Durante toda la vigencia de la relación, el aprendiz recibirá de la empresa un apoyo de sostenimiento mensual, así:</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Si es una formación dual, el aprendiz recibirá como mínimo durante el primer año el equivalente al setenta y cinco por ciento (75%) de un (1) salario mínimo legal mensual vigente y durante el segundo año el equivalente al cien por ciento (100%) de un (1) salario mínimo legal mensual vigente.</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Si es formación tradicional, el aprendiz recibirá como mínimo en la fase lectiva el equivalente al setenta y cinco por ciento (75%) de un (1) salario mínimo mensual vigente y en la parte práctica, el apoyo del sostenimiento será equivalente al cien por ciento (100%) de un salario mínimo mensual legal vigente.</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En ningún caso el apoyo de sostenimiento mensual podrá ser regulado a través de convenios o contratos colectivos o fallos arbitrales recaídos en una negociación colectiva.</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Si el aprendiz es estudiante universitario, el apoyo de sostenimiento mensual no podrá ser inferior al equivalente a un (1) salario mínimo legal vigente, sin importar si la formación es o no dual.</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Durante la fase lectiva, el aprendiz estará cubierto por el sistema de seguridad social en salud y riesgos laborales, pagado plenamente por la empresa como dependiente. Durante la fase práctica o durante toda la formación dual, el aprendiz estará afiliado a riesgos laborales y al sistema de seguridad social integral en pensiones y salud conforme al régimen de trabajadores dependientes, y tendrá derecho al reconocimiento y pago de todas las prestaciones, auxilios y demás derechos propios del contrato laboral.</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El aporte al riesgo laboral corresponderá al del nivel de riesgo de la empresa y de sus funciones.</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 xml:space="preserve">El contrato de aprendizaje podrá versar sobre ocupaciones </w:t>
            </w:r>
            <w:proofErr w:type="spellStart"/>
            <w:r w:rsidRPr="00DE0955">
              <w:rPr>
                <w:rFonts w:ascii="Cambria" w:hAnsi="Cambria"/>
                <w:b/>
                <w:bCs/>
                <w:sz w:val="16"/>
                <w:szCs w:val="16"/>
                <w:u w:val="single"/>
              </w:rPr>
              <w:t>semicalificadas</w:t>
            </w:r>
            <w:proofErr w:type="spellEnd"/>
            <w:r w:rsidRPr="00DE0955">
              <w:rPr>
                <w:rFonts w:ascii="Cambria" w:hAnsi="Cambria"/>
                <w:b/>
                <w:bCs/>
                <w:sz w:val="16"/>
                <w:szCs w:val="16"/>
                <w:u w:val="single"/>
              </w:rPr>
              <w:t xml:space="preserve"> que no requieran título o calificadas que requieran título de formación técnica no formal, técnicos profesionales, o tecnológicos o profesionales, de instituciones de educación reconocidas por el Estado y trabajadores aprendices del SENA.</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El Contrato de aprendizaje podrá versar sobre estudiantes universitarios para los casos en que el aprendiz cumpla con actividades de 24 horas semanales en la empresa y al mismo tiempo cumpla con el desarrollo del pensum de su carrera profesional, o que curse el semestre de práctica. En todo caso la actividad del aprendiz deberá guardar relación con su formación académica.</w:t>
            </w:r>
          </w:p>
          <w:p w:rsidR="00DE0955" w:rsidRPr="00DE0955" w:rsidRDefault="00DE0955" w:rsidP="00DE0955">
            <w:pPr>
              <w:jc w:val="both"/>
              <w:rPr>
                <w:rStyle w:val="Textoennegrita"/>
                <w:rFonts w:ascii="Cambria" w:hAnsi="Cambria" w:cs="Roboto Slab"/>
                <w:color w:val="464646"/>
                <w:sz w:val="16"/>
                <w:szCs w:val="16"/>
                <w:u w:val="single"/>
              </w:rPr>
            </w:pPr>
          </w:p>
          <w:p w:rsidR="00DE0955" w:rsidRPr="00DE0955" w:rsidRDefault="00DE0955" w:rsidP="00DE0955">
            <w:pPr>
              <w:jc w:val="both"/>
              <w:rPr>
                <w:rFonts w:ascii="Cambria" w:hAnsi="Cambria"/>
                <w:b/>
                <w:bCs/>
                <w:sz w:val="16"/>
                <w:szCs w:val="16"/>
                <w:u w:val="single"/>
              </w:rPr>
            </w:pPr>
            <w:r w:rsidRPr="00DE0955">
              <w:rPr>
                <w:rStyle w:val="Textoennegrita"/>
                <w:rFonts w:ascii="Cambria" w:hAnsi="Cambria" w:cs="Roboto Slab"/>
                <w:color w:val="464646"/>
                <w:sz w:val="16"/>
                <w:szCs w:val="16"/>
                <w:u w:val="single"/>
              </w:rPr>
              <w:t>Parágrafo 1°.</w:t>
            </w:r>
            <w:r w:rsidRPr="00DE0955">
              <w:rPr>
                <w:rFonts w:ascii="Cambria" w:hAnsi="Cambria"/>
                <w:b/>
                <w:bCs/>
                <w:sz w:val="16"/>
                <w:szCs w:val="16"/>
                <w:u w:val="single"/>
              </w:rPr>
              <w:t xml:space="preserve"> Para los departamentos de Amazonas, Guainía, Vichada, Vaupés, Chocó y Guaviare, como </w:t>
            </w:r>
            <w:r w:rsidRPr="00DE0955">
              <w:rPr>
                <w:rFonts w:ascii="Cambria" w:hAnsi="Cambria"/>
                <w:b/>
                <w:bCs/>
                <w:sz w:val="16"/>
                <w:szCs w:val="16"/>
                <w:u w:val="single"/>
              </w:rPr>
              <w:lastRenderedPageBreak/>
              <w:t>también para los departamentos fronterizos de La Guajira, Norte de Santander y Arauca, el Gobierno incluirá una partida adicional en el Presupuesto General de la Nación que transferirá con destino al reconocimiento del pago de los contratos de aprendizaje.</w:t>
            </w:r>
          </w:p>
          <w:p w:rsidR="00DE0955" w:rsidRPr="00DE0955" w:rsidRDefault="00DE0955" w:rsidP="00DE0955">
            <w:pPr>
              <w:jc w:val="both"/>
              <w:rPr>
                <w:rStyle w:val="Textoennegrita"/>
                <w:rFonts w:ascii="Cambria" w:hAnsi="Cambria" w:cs="Roboto Slab"/>
                <w:color w:val="464646"/>
                <w:sz w:val="16"/>
                <w:szCs w:val="16"/>
                <w:u w:val="single"/>
              </w:rPr>
            </w:pPr>
          </w:p>
          <w:p w:rsidR="00DE0955" w:rsidRPr="00DE0955" w:rsidRDefault="00DE0955" w:rsidP="00DE0955">
            <w:pPr>
              <w:jc w:val="both"/>
              <w:rPr>
                <w:rFonts w:ascii="Cambria" w:hAnsi="Cambria"/>
                <w:b/>
                <w:bCs/>
                <w:sz w:val="16"/>
                <w:szCs w:val="16"/>
                <w:u w:val="single"/>
              </w:rPr>
            </w:pPr>
            <w:r w:rsidRPr="00DE0955">
              <w:rPr>
                <w:rStyle w:val="Textoennegrita"/>
                <w:rFonts w:ascii="Cambria" w:hAnsi="Cambria" w:cs="Roboto Slab"/>
                <w:color w:val="464646"/>
                <w:sz w:val="16"/>
                <w:szCs w:val="16"/>
                <w:u w:val="single"/>
              </w:rPr>
              <w:t>Parágrafo 2°.</w:t>
            </w:r>
            <w:r w:rsidRPr="00DE0955">
              <w:rPr>
                <w:rFonts w:ascii="Cambria" w:hAnsi="Cambria"/>
                <w:b/>
                <w:bCs/>
                <w:sz w:val="16"/>
                <w:szCs w:val="16"/>
                <w:u w:val="single"/>
              </w:rPr>
              <w:t> Para efectos de la presente ley, se entiende como formación dual, el proceso de formación profesional integral planeado, ejecutado y evaluado de manera conjunta entre el sector privado y el SENA o la institución de educación a partir de un programa de formación acordado según las necesidades de la respectiva empresa.</w:t>
            </w:r>
          </w:p>
          <w:p w:rsidR="00DE0955" w:rsidRPr="00DE0955" w:rsidRDefault="00DE0955" w:rsidP="00DE0955">
            <w:pPr>
              <w:jc w:val="both"/>
              <w:rPr>
                <w:rFonts w:ascii="Cambria" w:hAnsi="Cambria"/>
                <w:b/>
                <w:bCs/>
                <w:sz w:val="16"/>
                <w:szCs w:val="16"/>
                <w:u w:val="single"/>
              </w:rPr>
            </w:pPr>
          </w:p>
          <w:p w:rsidR="00DE0955" w:rsidRPr="00DE0955" w:rsidRDefault="00DE0955" w:rsidP="00DE0955">
            <w:pPr>
              <w:jc w:val="both"/>
              <w:rPr>
                <w:rFonts w:ascii="Cambria" w:hAnsi="Cambria"/>
                <w:b/>
                <w:bCs/>
                <w:sz w:val="16"/>
                <w:szCs w:val="16"/>
                <w:u w:val="single"/>
              </w:rPr>
            </w:pPr>
            <w:r w:rsidRPr="00DE0955">
              <w:rPr>
                <w:rFonts w:ascii="Cambria" w:hAnsi="Cambria"/>
                <w:b/>
                <w:bCs/>
                <w:sz w:val="16"/>
                <w:szCs w:val="16"/>
                <w:u w:val="single"/>
              </w:rPr>
              <w:t>Para el desarrollo de esta, la institución y la empresa deberán acordar un esquema de alternancia entre los ambientes de aprendizaje de la institución y la empresa, el cual debe ser en su totalidad planeado, ejecutado y evaluado conjuntamente con base en el programa de formación acordado, según las necesidades de la empresa.</w:t>
            </w:r>
          </w:p>
          <w:p w:rsidR="00DE0955" w:rsidRPr="00DE0955" w:rsidRDefault="00DE0955" w:rsidP="00DE0955">
            <w:pPr>
              <w:jc w:val="both"/>
              <w:rPr>
                <w:rStyle w:val="Textoennegrita"/>
                <w:rFonts w:ascii="Cambria" w:hAnsi="Cambria" w:cs="Roboto Slab"/>
                <w:color w:val="464646"/>
                <w:sz w:val="16"/>
                <w:szCs w:val="16"/>
                <w:u w:val="single"/>
              </w:rPr>
            </w:pPr>
          </w:p>
          <w:p w:rsidR="00DE0955" w:rsidRPr="00DE0955" w:rsidRDefault="00DE0955" w:rsidP="00DE0955">
            <w:pPr>
              <w:jc w:val="both"/>
              <w:rPr>
                <w:rFonts w:ascii="Cambria" w:hAnsi="Cambria"/>
                <w:b/>
                <w:bCs/>
                <w:sz w:val="16"/>
                <w:szCs w:val="16"/>
                <w:u w:val="single"/>
              </w:rPr>
            </w:pPr>
            <w:r w:rsidRPr="00DE0955">
              <w:rPr>
                <w:rStyle w:val="Textoennegrita"/>
                <w:rFonts w:ascii="Cambria" w:hAnsi="Cambria" w:cs="Roboto Slab"/>
                <w:color w:val="464646"/>
                <w:sz w:val="16"/>
                <w:szCs w:val="16"/>
                <w:u w:val="single"/>
              </w:rPr>
              <w:t>Parágrafo 3°.</w:t>
            </w:r>
            <w:r w:rsidRPr="00DE0955">
              <w:rPr>
                <w:rFonts w:ascii="Cambria" w:hAnsi="Cambria"/>
                <w:b/>
                <w:bCs/>
                <w:sz w:val="16"/>
                <w:szCs w:val="16"/>
                <w:u w:val="single"/>
              </w:rPr>
              <w:t> El tiempo correspondiente a la fase práctica o dual deberá ser certificado por la empresa y se reconocerá como experiencia laboral para el aprendiz.</w:t>
            </w:r>
          </w:p>
          <w:p w:rsidR="00DE0955" w:rsidRPr="00DE0955" w:rsidRDefault="00DE0955" w:rsidP="00DE0955">
            <w:pPr>
              <w:jc w:val="both"/>
              <w:rPr>
                <w:rStyle w:val="Textoennegrita"/>
                <w:rFonts w:ascii="Cambria" w:hAnsi="Cambria" w:cs="Roboto Slab"/>
                <w:color w:val="464646"/>
                <w:sz w:val="16"/>
                <w:szCs w:val="16"/>
                <w:u w:val="single"/>
              </w:rPr>
            </w:pPr>
          </w:p>
          <w:p w:rsidR="00DE0955" w:rsidRPr="00DE0955" w:rsidRDefault="00DE0955" w:rsidP="00DE0955">
            <w:pPr>
              <w:jc w:val="both"/>
              <w:rPr>
                <w:rFonts w:ascii="Cambria" w:hAnsi="Cambria"/>
                <w:b/>
                <w:bCs/>
                <w:sz w:val="16"/>
                <w:szCs w:val="16"/>
                <w:u w:val="single"/>
              </w:rPr>
            </w:pPr>
            <w:r w:rsidRPr="00DE0955">
              <w:rPr>
                <w:rStyle w:val="Textoennegrita"/>
                <w:rFonts w:ascii="Cambria" w:hAnsi="Cambria" w:cs="Roboto Slab"/>
                <w:color w:val="464646"/>
                <w:sz w:val="16"/>
                <w:szCs w:val="16"/>
                <w:u w:val="single"/>
              </w:rPr>
              <w:t>Parágrafo 4°.</w:t>
            </w:r>
            <w:r w:rsidRPr="00DE0955">
              <w:rPr>
                <w:rFonts w:ascii="Cambria" w:hAnsi="Cambria"/>
                <w:b/>
                <w:bCs/>
                <w:sz w:val="16"/>
                <w:szCs w:val="16"/>
                <w:u w:val="single"/>
              </w:rPr>
              <w:t> Los hogares infantiles y las personas jurídicas sin ánimo de lucro cuya personería jurídica esté reconocida por el ICBF, que presten servicios de atención integral a la primera infancia en cualquier modalidad de atención reconocida dentro del municipio o distrito no serán objeto de regulación de la cuota de aprendices..</w:t>
            </w:r>
          </w:p>
          <w:p w:rsidR="00DE0955" w:rsidRPr="00202AAD" w:rsidRDefault="00DE0955" w:rsidP="00DE0955">
            <w:pPr>
              <w:jc w:val="both"/>
              <w:rPr>
                <w:rStyle w:val="Textoennegrita"/>
                <w:rFonts w:ascii="Cambria" w:hAnsi="Cambria" w:cs="Roboto Slab"/>
                <w:color w:val="464646"/>
                <w:sz w:val="16"/>
                <w:szCs w:val="16"/>
              </w:rPr>
            </w:pPr>
          </w:p>
        </w:tc>
      </w:tr>
    </w:tbl>
    <w:p w:rsidR="00DE0955" w:rsidRPr="00DE0955" w:rsidRDefault="00DE0955" w:rsidP="00DE0955">
      <w:pPr>
        <w:jc w:val="both"/>
        <w:rPr>
          <w:rFonts w:ascii="Cambria" w:hAnsi="Cambria"/>
        </w:rPr>
      </w:pPr>
    </w:p>
    <w:p w:rsidR="00DE0955" w:rsidRDefault="00B3293F" w:rsidP="00DE0955">
      <w:pPr>
        <w:jc w:val="both"/>
        <w:rPr>
          <w:rFonts w:ascii="Cambria" w:hAnsi="Cambria"/>
          <w:lang w:val="es-ES"/>
        </w:rPr>
      </w:pPr>
      <w:r>
        <w:rPr>
          <w:rFonts w:ascii="Cambria" w:hAnsi="Cambria"/>
          <w:lang w:val="es-ES"/>
        </w:rPr>
        <w:t>El efecto en el campo tributario</w:t>
      </w:r>
    </w:p>
    <w:p w:rsidR="00A616C6" w:rsidRDefault="00B3293F" w:rsidP="00B3293F">
      <w:pPr>
        <w:jc w:val="both"/>
        <w:rPr>
          <w:rFonts w:ascii="Cambria" w:hAnsi="Cambria"/>
          <w:lang w:val="es-ES"/>
        </w:rPr>
      </w:pPr>
      <w:r>
        <w:rPr>
          <w:rFonts w:ascii="Cambria" w:hAnsi="Cambria"/>
          <w:lang w:val="es-ES"/>
        </w:rPr>
        <w:t xml:space="preserve">En razón de dicho cambio, es importante destacar que </w:t>
      </w:r>
      <w:r w:rsidR="00DE0955" w:rsidRPr="00DE0955">
        <w:rPr>
          <w:rFonts w:ascii="Cambria" w:hAnsi="Cambria"/>
          <w:lang w:val="es-ES"/>
        </w:rPr>
        <w:t>hasta antes de la Ley 2466 de junio 25 de 2025</w:t>
      </w:r>
      <w:r>
        <w:rPr>
          <w:rFonts w:ascii="Cambria" w:hAnsi="Cambria"/>
          <w:lang w:val="es-ES"/>
        </w:rPr>
        <w:t xml:space="preserve"> la DIAN misma</w:t>
      </w:r>
      <w:r w:rsidR="00DE0955" w:rsidRPr="00DE0955">
        <w:rPr>
          <w:rFonts w:ascii="Cambria" w:hAnsi="Cambria"/>
          <w:lang w:val="es-ES"/>
        </w:rPr>
        <w:t xml:space="preserve">, </w:t>
      </w:r>
      <w:hyperlink r:id="rId6" w:anchor="4.2.3.6" w:history="1">
        <w:r w:rsidR="00DE0955" w:rsidRPr="00A616C6">
          <w:rPr>
            <w:rStyle w:val="Hipervnculo"/>
            <w:rFonts w:ascii="Cambria" w:hAnsi="Cambria"/>
            <w:lang w:val="es-ES"/>
          </w:rPr>
          <w:t>en la respuesta a la pregunta 4.2.3.6 de su Concepto 106 de agosto de 2022</w:t>
        </w:r>
      </w:hyperlink>
      <w:r w:rsidR="00DE0955" w:rsidRPr="00DE0955">
        <w:rPr>
          <w:rFonts w:ascii="Cambria" w:hAnsi="Cambria"/>
          <w:lang w:val="es-ES"/>
        </w:rPr>
        <w:t xml:space="preserve">, </w:t>
      </w:r>
      <w:r>
        <w:rPr>
          <w:rFonts w:ascii="Cambria" w:hAnsi="Cambria"/>
          <w:lang w:val="es-ES"/>
        </w:rPr>
        <w:t xml:space="preserve">había </w:t>
      </w:r>
      <w:r w:rsidR="00DE0955" w:rsidRPr="00DE0955">
        <w:rPr>
          <w:rFonts w:ascii="Cambria" w:hAnsi="Cambria"/>
          <w:lang w:val="es-ES"/>
        </w:rPr>
        <w:t>indic</w:t>
      </w:r>
      <w:r w:rsidR="00A616C6">
        <w:rPr>
          <w:rFonts w:ascii="Cambria" w:hAnsi="Cambria"/>
          <w:lang w:val="es-ES"/>
        </w:rPr>
        <w:t>ado</w:t>
      </w:r>
      <w:r w:rsidR="00DE0955" w:rsidRPr="00DE0955">
        <w:rPr>
          <w:rFonts w:ascii="Cambria" w:hAnsi="Cambria"/>
          <w:lang w:val="es-ES"/>
        </w:rPr>
        <w:t xml:space="preserve"> que </w:t>
      </w:r>
      <w:r>
        <w:rPr>
          <w:rFonts w:ascii="Cambria" w:hAnsi="Cambria"/>
          <w:lang w:val="es-ES"/>
        </w:rPr>
        <w:t xml:space="preserve">los pagos </w:t>
      </w:r>
      <w:r w:rsidR="00A616C6">
        <w:rPr>
          <w:rFonts w:ascii="Cambria" w:hAnsi="Cambria"/>
          <w:lang w:val="es-ES"/>
        </w:rPr>
        <w:t xml:space="preserve">por “apoyos de sostenimiento” </w:t>
      </w:r>
      <w:r>
        <w:rPr>
          <w:rFonts w:ascii="Cambria" w:hAnsi="Cambria"/>
          <w:lang w:val="es-ES"/>
        </w:rPr>
        <w:t xml:space="preserve">a los aprendices del SENA </w:t>
      </w:r>
      <w:r w:rsidR="00DE0955" w:rsidRPr="00DE0955">
        <w:rPr>
          <w:rFonts w:ascii="Cambria" w:hAnsi="Cambria"/>
          <w:lang w:val="es-ES"/>
        </w:rPr>
        <w:t xml:space="preserve"> </w:t>
      </w:r>
      <w:r>
        <w:rPr>
          <w:rFonts w:ascii="Cambria" w:hAnsi="Cambria"/>
          <w:lang w:val="es-ES"/>
        </w:rPr>
        <w:t>no se</w:t>
      </w:r>
      <w:r w:rsidR="00DE0955" w:rsidRPr="00DE0955">
        <w:rPr>
          <w:rFonts w:ascii="Cambria" w:hAnsi="Cambria"/>
          <w:lang w:val="es-ES"/>
        </w:rPr>
        <w:t xml:space="preserve"> </w:t>
      </w:r>
      <w:r>
        <w:rPr>
          <w:rFonts w:ascii="Cambria" w:hAnsi="Cambria"/>
          <w:lang w:val="es-ES"/>
        </w:rPr>
        <w:t xml:space="preserve">debían incluir en el </w:t>
      </w:r>
      <w:r w:rsidR="00DE0955" w:rsidRPr="00DE0955">
        <w:rPr>
          <w:rFonts w:ascii="Cambria" w:hAnsi="Cambria"/>
          <w:lang w:val="es-ES"/>
        </w:rPr>
        <w:t>“documento de nómina electrónica”</w:t>
      </w:r>
      <w:r>
        <w:rPr>
          <w:rFonts w:ascii="Cambria" w:hAnsi="Cambria"/>
          <w:lang w:val="es-ES"/>
        </w:rPr>
        <w:t xml:space="preserve"> regulado por la Resolución 013 de febrero de 2021 pues dicho documento solo se exige para los pagos que sí se originen de una “relación laboral” y que </w:t>
      </w:r>
      <w:proofErr w:type="spellStart"/>
      <w:r>
        <w:rPr>
          <w:rFonts w:ascii="Cambria" w:hAnsi="Cambria"/>
          <w:lang w:val="es-ES"/>
        </w:rPr>
        <w:t>pretandan</w:t>
      </w:r>
      <w:proofErr w:type="spellEnd"/>
      <w:r>
        <w:rPr>
          <w:rFonts w:ascii="Cambria" w:hAnsi="Cambria"/>
          <w:lang w:val="es-ES"/>
        </w:rPr>
        <w:t xml:space="preserve"> ser tomados como deducibles en las declaraciones de renta del régimen ordinario o del régimen especial</w:t>
      </w:r>
      <w:r w:rsidR="00DE0955" w:rsidRPr="00DE0955">
        <w:rPr>
          <w:rFonts w:ascii="Cambria" w:hAnsi="Cambria"/>
          <w:lang w:val="es-ES"/>
        </w:rPr>
        <w:t xml:space="preserve">. </w:t>
      </w:r>
    </w:p>
    <w:p w:rsidR="00A616C6" w:rsidRDefault="00A616C6" w:rsidP="00B3293F">
      <w:pPr>
        <w:jc w:val="both"/>
        <w:rPr>
          <w:rFonts w:ascii="Cambria" w:hAnsi="Cambria"/>
          <w:lang w:val="es-ES"/>
        </w:rPr>
      </w:pPr>
    </w:p>
    <w:p w:rsidR="00A616C6" w:rsidRDefault="00A616C6" w:rsidP="00B3293F">
      <w:pPr>
        <w:jc w:val="both"/>
        <w:rPr>
          <w:rFonts w:ascii="Cambria" w:hAnsi="Cambria"/>
          <w:lang w:val="es-ES"/>
        </w:rPr>
      </w:pPr>
      <w:r>
        <w:rPr>
          <w:rFonts w:ascii="Cambria" w:hAnsi="Cambria"/>
          <w:lang w:val="es-ES"/>
        </w:rPr>
        <w:t>En dicho concepto la DIAN dijo lo siguiente:</w:t>
      </w:r>
    </w:p>
    <w:p w:rsidR="00A616C6" w:rsidRPr="00A616C6" w:rsidRDefault="00A616C6" w:rsidP="00B3293F">
      <w:pPr>
        <w:jc w:val="both"/>
        <w:rPr>
          <w:rFonts w:ascii="Cambria" w:hAnsi="Cambria"/>
          <w:i/>
          <w:iCs/>
          <w:lang w:val="es-ES"/>
        </w:rPr>
      </w:pPr>
      <w:r>
        <w:rPr>
          <w:rFonts w:ascii="Cambria" w:hAnsi="Cambria"/>
          <w:i/>
          <w:iCs/>
          <w:lang w:val="es-ES"/>
        </w:rPr>
        <w:t>“</w:t>
      </w:r>
      <w:r w:rsidRPr="00A616C6">
        <w:rPr>
          <w:rFonts w:ascii="Cambria" w:hAnsi="Cambria"/>
          <w:i/>
          <w:iCs/>
          <w:lang w:val="es-ES"/>
        </w:rPr>
        <w:t>Así las cosas, si el sostenimiento no constituye salario, no debe regirse por las normas propias del contrato de trabajo y, en especial, del artículo </w:t>
      </w:r>
      <w:hyperlink r:id="rId7" w:anchor="53" w:history="1">
        <w:r w:rsidRPr="00A616C6">
          <w:rPr>
            <w:rFonts w:ascii="Cambria" w:hAnsi="Cambria"/>
            <w:i/>
            <w:iCs/>
            <w:lang w:val="es-ES"/>
          </w:rPr>
          <w:t>53</w:t>
        </w:r>
      </w:hyperlink>
      <w:r w:rsidRPr="00A616C6">
        <w:rPr>
          <w:rFonts w:ascii="Cambria" w:hAnsi="Cambria"/>
          <w:i/>
          <w:iCs/>
          <w:lang w:val="es-ES"/>
        </w:rPr>
        <w:t> constitucional. Por lo cual, los pagos o abonos en cuenta correspondientes al apoyo de sostenimiento mensual efectuado por las empresas patrocinadoras a los aprendices, en razón de las actividades realizadas dentro del contrato de aprendizaje, no deberán ser soportados con el documento soporte de pago de nómina electrónica. Lo anterior, toda vez que entre dichas empresas patrocinadoras y los aprendices no existe una relación laboral o legal y reglamentaria en los términos de la legislación vigente.</w:t>
      </w:r>
      <w:r>
        <w:rPr>
          <w:rFonts w:ascii="Cambria" w:hAnsi="Cambria"/>
          <w:i/>
          <w:iCs/>
          <w:lang w:val="es-ES"/>
        </w:rPr>
        <w:t>”</w:t>
      </w:r>
    </w:p>
    <w:p w:rsidR="00A616C6" w:rsidRDefault="00A616C6" w:rsidP="00B3293F">
      <w:pPr>
        <w:jc w:val="both"/>
        <w:rPr>
          <w:rFonts w:ascii="Cambria" w:hAnsi="Cambria"/>
          <w:lang w:val="es-ES"/>
        </w:rPr>
      </w:pPr>
    </w:p>
    <w:p w:rsidR="00A616C6" w:rsidRDefault="00A616C6" w:rsidP="00B3293F">
      <w:pPr>
        <w:jc w:val="both"/>
        <w:rPr>
          <w:rFonts w:ascii="Cambria" w:hAnsi="Cambria"/>
          <w:lang w:val="es-ES"/>
        </w:rPr>
      </w:pPr>
      <w:r>
        <w:rPr>
          <w:rFonts w:ascii="Cambria" w:hAnsi="Cambria"/>
          <w:lang w:val="es-ES"/>
        </w:rPr>
        <w:t xml:space="preserve">Por consiguiente, si a partir de junio 25 de 2025 los pagos a los aprendices sí empiezan a tener las mismas características de los pagos originados de una relación laboral, se </w:t>
      </w:r>
      <w:r>
        <w:rPr>
          <w:rFonts w:ascii="Cambria" w:hAnsi="Cambria"/>
          <w:lang w:val="es-ES"/>
        </w:rPr>
        <w:lastRenderedPageBreak/>
        <w:t>hará necesario empezar a incluirlos en el “documento de nómina electrónica” para que puedan ser aceptados como deducibles en las declaraciones de renta</w:t>
      </w:r>
    </w:p>
    <w:p w:rsidR="00A616C6" w:rsidRDefault="00A616C6" w:rsidP="00B3293F">
      <w:pPr>
        <w:jc w:val="both"/>
        <w:rPr>
          <w:rFonts w:ascii="Cambria" w:hAnsi="Cambria"/>
          <w:lang w:val="es-ES"/>
        </w:rPr>
      </w:pPr>
    </w:p>
    <w:p w:rsidR="00A616C6" w:rsidRDefault="00A616C6" w:rsidP="00B3293F">
      <w:pPr>
        <w:jc w:val="both"/>
        <w:rPr>
          <w:rFonts w:ascii="Cambria" w:hAnsi="Cambria"/>
          <w:lang w:val="es-ES"/>
        </w:rPr>
      </w:pPr>
      <w:r>
        <w:rPr>
          <w:rFonts w:ascii="Cambria" w:hAnsi="Cambria"/>
          <w:lang w:val="es-ES"/>
        </w:rPr>
        <w:t>Además, también se hará necesario que al final del año gravable 2025 y siguientes, al momento de elaborar los reportes de información exógena tributaria para la DIAN (</w:t>
      </w:r>
      <w:hyperlink r:id="rId8" w:history="1">
        <w:r w:rsidRPr="00A616C6">
          <w:rPr>
            <w:rStyle w:val="Hipervnculo"/>
            <w:rFonts w:ascii="Cambria" w:hAnsi="Cambria"/>
            <w:lang w:val="es-ES"/>
          </w:rPr>
          <w:t>ver Resolución permanente 162 de octubre de 2023</w:t>
        </w:r>
      </w:hyperlink>
      <w:r>
        <w:rPr>
          <w:rFonts w:ascii="Cambria" w:hAnsi="Cambria"/>
          <w:lang w:val="es-ES"/>
        </w:rPr>
        <w:t>),  los pagos que se hayan realizado a los aprendices ya no se reporten en el formato 1001 sino en el formato 2276. Y en el caso particular de la exógena del año gravable 2025 lo que sucederá es que los pagos efectuados entre enero 1 y junio 24, sí quedarían reportados en el formato 1001 (y al mismo tiempo en el formato 1011 con el concepto 8249) pero los que se realicen entre junio 25 y diciembre 31 terminarían reportados en el formato 2276</w:t>
      </w:r>
    </w:p>
    <w:p w:rsidR="00A616C6" w:rsidRDefault="00A616C6" w:rsidP="00B3293F">
      <w:pPr>
        <w:jc w:val="both"/>
        <w:rPr>
          <w:rFonts w:ascii="Cambria" w:hAnsi="Cambria"/>
          <w:lang w:val="es-ES"/>
        </w:rPr>
      </w:pPr>
    </w:p>
    <w:p w:rsidR="00A616C6" w:rsidRDefault="00A616C6" w:rsidP="00B3293F">
      <w:pPr>
        <w:jc w:val="both"/>
        <w:rPr>
          <w:rFonts w:ascii="Cambria" w:hAnsi="Cambria"/>
          <w:lang w:val="es-ES"/>
        </w:rPr>
      </w:pPr>
      <w:r>
        <w:rPr>
          <w:rFonts w:ascii="Cambria" w:hAnsi="Cambria"/>
          <w:lang w:val="es-ES"/>
        </w:rPr>
        <w:t>Así mismo, para los reportes de exógena del año gravable 2026 y siguientes ya no se necesitará seguir utilizando el concepto 8249 dentro del formato 1011</w:t>
      </w:r>
    </w:p>
    <w:p w:rsidR="00FA3E8F" w:rsidRDefault="00FA3E8F" w:rsidP="00B3293F">
      <w:pPr>
        <w:jc w:val="both"/>
        <w:rPr>
          <w:rFonts w:ascii="Cambria" w:hAnsi="Cambria"/>
          <w:lang w:val="es-ES"/>
        </w:rPr>
      </w:pPr>
    </w:p>
    <w:p w:rsidR="00FA3E8F" w:rsidRPr="00FA3E8F" w:rsidRDefault="00FA3E8F" w:rsidP="00FA3E8F">
      <w:pPr>
        <w:pBdr>
          <w:bottom w:val="single" w:sz="12" w:space="1" w:color="auto"/>
        </w:pBdr>
        <w:jc w:val="both"/>
        <w:rPr>
          <w:i/>
          <w:iCs/>
          <w:lang w:val="es-ES"/>
        </w:rPr>
      </w:pPr>
      <w:r w:rsidRPr="00FA3E8F">
        <w:rPr>
          <w:i/>
          <w:iCs/>
          <w:lang w:val="es-ES"/>
        </w:rPr>
        <w:t xml:space="preserve">(Nota: Para profundizar en el tema de la preparación y presentación de la declaración de renta y del régimen simple de personas naturales por el año gravable 2024, no dejes de adquirir  el libro virtual </w:t>
      </w:r>
      <w:hyperlink r:id="rId9" w:history="1">
        <w:r w:rsidRPr="00FA3E8F">
          <w:rPr>
            <w:rStyle w:val="Hipervnculo"/>
            <w:i/>
            <w:iCs/>
            <w:lang w:val="es-ES"/>
          </w:rPr>
          <w:t>“Guía para preparar y presentar la declaración de renta y de régimen simple año gravable 2024 de personas naturales con sus formatos 2516 y 2517”, elaborado en mayo de 2025 por el Dr. Diego Guevara</w:t>
        </w:r>
      </w:hyperlink>
      <w:r w:rsidRPr="00FA3E8F">
        <w:rPr>
          <w:i/>
          <w:iCs/>
          <w:lang w:val="es-ES"/>
        </w:rPr>
        <w:t xml:space="preserve">, líder de investigación de actualícese.com, el cual incluye el acceso a 6 horas de conferencia en línea, separadas por capítulos que cada quien puede ver según sus intereses, e igualmente el acceso a un libro en Word de más de 200 páginas y el acceso a múltiples plantillas de Excel que ayudarán a elaborar con detalle los formularios 110, 210 y 260 junto con sus formatos 2516 y 2517; ese mismo producto también se puede adquirir </w:t>
      </w:r>
      <w:hyperlink r:id="rId10" w:history="1">
        <w:r w:rsidRPr="00FA3E8F">
          <w:rPr>
            <w:rStyle w:val="Hipervnculo"/>
            <w:i/>
            <w:iCs/>
            <w:lang w:val="es-ES"/>
          </w:rPr>
          <w:t>en otra versión en la cual se tiene acceso a las 6 horas de la filmación del seminario presencial que el Dr. Guevara efectuó en Bogotá el 17 de junio de 2025</w:t>
        </w:r>
      </w:hyperlink>
      <w:r w:rsidRPr="00FA3E8F">
        <w:rPr>
          <w:i/>
          <w:iCs/>
          <w:lang w:val="es-ES"/>
        </w:rPr>
        <w:t xml:space="preserve"> y en el cual sí se incluyeron hasta consejos de vida y aportes de humor).</w:t>
      </w:r>
    </w:p>
    <w:p w:rsidR="00FA3E8F" w:rsidRDefault="00FA3E8F" w:rsidP="00FA3E8F">
      <w:pPr>
        <w:pBdr>
          <w:bottom w:val="single" w:sz="12" w:space="1" w:color="auto"/>
        </w:pBdr>
        <w:jc w:val="both"/>
        <w:rPr>
          <w:lang w:val="es-ES"/>
        </w:rPr>
      </w:pPr>
    </w:p>
    <w:p w:rsidR="00FA3E8F" w:rsidRDefault="00FA3E8F" w:rsidP="00B3293F">
      <w:pPr>
        <w:jc w:val="both"/>
        <w:rPr>
          <w:rFonts w:ascii="Cambria" w:hAnsi="Cambria"/>
          <w:lang w:val="es-ES"/>
        </w:rPr>
      </w:pPr>
      <w:r>
        <w:rPr>
          <w:rFonts w:ascii="Cambria" w:hAnsi="Cambria"/>
          <w:lang w:val="es-ES"/>
        </w:rPr>
        <w:t xml:space="preserve"> </w:t>
      </w:r>
    </w:p>
    <w:p w:rsidR="00DE0955" w:rsidRPr="00FA3E8F" w:rsidRDefault="00FA3E8F" w:rsidP="00A616C6">
      <w:pPr>
        <w:rPr>
          <w:rStyle w:val="Hipervnculo"/>
          <w:rFonts w:ascii="Cambria" w:hAnsi="Cambria"/>
          <w:sz w:val="20"/>
          <w:szCs w:val="20"/>
          <w:lang w:val="es-ES"/>
        </w:rPr>
      </w:pPr>
      <w:r>
        <w:rPr>
          <w:rFonts w:ascii="Cambria" w:hAnsi="Cambria" w:cs="Open Sans"/>
          <w:sz w:val="20"/>
          <w:szCs w:val="20"/>
        </w:rPr>
        <w:fldChar w:fldCharType="begin"/>
      </w:r>
      <w:r>
        <w:rPr>
          <w:rFonts w:ascii="Cambria" w:hAnsi="Cambria" w:cs="Open Sans"/>
          <w:sz w:val="20"/>
          <w:szCs w:val="20"/>
        </w:rPr>
        <w:instrText>HYPERLINK "https://actualicese.com/cuadro-tematico-con-las-normas-afectadas-por-la-reforma-laboral-2025-ley-2466-de-junio-25-de-2025/"</w:instrText>
      </w:r>
      <w:r>
        <w:rPr>
          <w:rFonts w:ascii="Cambria" w:hAnsi="Cambria" w:cs="Open Sans"/>
          <w:sz w:val="20"/>
          <w:szCs w:val="20"/>
        </w:rPr>
      </w:r>
      <w:r>
        <w:rPr>
          <w:rFonts w:ascii="Cambria" w:hAnsi="Cambria" w:cs="Open Sans"/>
          <w:sz w:val="20"/>
          <w:szCs w:val="20"/>
        </w:rPr>
        <w:fldChar w:fldCharType="separate"/>
      </w:r>
    </w:p>
    <w:p w:rsidR="00A616C6" w:rsidRPr="00FA3E8F" w:rsidRDefault="00A616C6" w:rsidP="00A616C6">
      <w:pPr>
        <w:rPr>
          <w:rStyle w:val="Hipervnculo"/>
          <w:rFonts w:ascii="Cambria" w:hAnsi="Cambria" w:cs="Open Sans"/>
          <w:sz w:val="20"/>
          <w:szCs w:val="20"/>
        </w:rPr>
      </w:pPr>
      <w:r w:rsidRPr="00FA3E8F">
        <w:rPr>
          <w:rStyle w:val="Hipervnculo"/>
          <w:rFonts w:ascii="Cambria" w:hAnsi="Cambria" w:cs="Open Sans"/>
          <w:sz w:val="20"/>
          <w:szCs w:val="20"/>
        </w:rPr>
        <w:t>Cuadro temático con las normas afectadas por la Ley de reforma laboral 2466 de junio 25 de 2025</w:t>
      </w:r>
    </w:p>
    <w:p w:rsidR="00A616C6" w:rsidRDefault="00FA3E8F" w:rsidP="00A616C6">
      <w:pPr>
        <w:rPr>
          <w:rFonts w:ascii="Cambria" w:hAnsi="Cambria" w:cs="Open Sans"/>
          <w:sz w:val="20"/>
          <w:szCs w:val="20"/>
        </w:rPr>
      </w:pPr>
      <w:r>
        <w:rPr>
          <w:rFonts w:ascii="Cambria" w:hAnsi="Cambria" w:cs="Open Sans"/>
          <w:sz w:val="20"/>
          <w:szCs w:val="20"/>
        </w:rPr>
        <w:fldChar w:fldCharType="end"/>
      </w:r>
    </w:p>
    <w:p w:rsidR="00FA3E8F" w:rsidRPr="00A616C6" w:rsidRDefault="00FA3E8F" w:rsidP="00A616C6">
      <w:pPr>
        <w:rPr>
          <w:rFonts w:ascii="Cambria" w:hAnsi="Cambria"/>
          <w:sz w:val="20"/>
          <w:szCs w:val="20"/>
        </w:rPr>
      </w:pPr>
    </w:p>
    <w:sectPr w:rsidR="00FA3E8F" w:rsidRPr="00A616C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Slab">
    <w:panose1 w:val="00000000000000000000"/>
    <w:charset w:val="00"/>
    <w:family w:val="auto"/>
    <w:pitch w:val="variable"/>
    <w:sig w:usb0="000004FF" w:usb1="8000405F" w:usb2="00000022"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F5E"/>
    <w:rsid w:val="004B559F"/>
    <w:rsid w:val="007C3236"/>
    <w:rsid w:val="00964D29"/>
    <w:rsid w:val="00A533C2"/>
    <w:rsid w:val="00A54C7E"/>
    <w:rsid w:val="00A616C6"/>
    <w:rsid w:val="00B3293F"/>
    <w:rsid w:val="00DE0955"/>
    <w:rsid w:val="00E17F5E"/>
    <w:rsid w:val="00FA3E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C3D1"/>
  <w15:chartTrackingRefBased/>
  <w15:docId w15:val="{D7DBF652-8E39-A74C-98B0-14087ABF8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A616C6"/>
    <w:pPr>
      <w:spacing w:before="100" w:beforeAutospacing="1" w:after="100" w:afterAutospacing="1"/>
      <w:outlineLvl w:val="0"/>
    </w:pPr>
    <w:rPr>
      <w:rFonts w:ascii="Times New Roman" w:eastAsia="Times New Roman" w:hAnsi="Times New Roman" w:cs="Times New Roman"/>
      <w:b/>
      <w:bCs/>
      <w:kern w:val="36"/>
      <w:sz w:val="48"/>
      <w:szCs w:val="48"/>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E09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DE0955"/>
    <w:rPr>
      <w:b/>
      <w:bCs/>
    </w:rPr>
  </w:style>
  <w:style w:type="character" w:styleId="Hipervnculo">
    <w:name w:val="Hyperlink"/>
    <w:basedOn w:val="Fuentedeprrafopredeter"/>
    <w:uiPriority w:val="99"/>
    <w:unhideWhenUsed/>
    <w:rsid w:val="00B3293F"/>
    <w:rPr>
      <w:color w:val="0563C1" w:themeColor="hyperlink"/>
      <w:u w:val="single"/>
    </w:rPr>
  </w:style>
  <w:style w:type="character" w:styleId="Mencinsinresolver">
    <w:name w:val="Unresolved Mention"/>
    <w:basedOn w:val="Fuentedeprrafopredeter"/>
    <w:uiPriority w:val="99"/>
    <w:semiHidden/>
    <w:unhideWhenUsed/>
    <w:rsid w:val="00B3293F"/>
    <w:rPr>
      <w:color w:val="605E5C"/>
      <w:shd w:val="clear" w:color="auto" w:fill="E1DFDD"/>
    </w:rPr>
  </w:style>
  <w:style w:type="character" w:styleId="Hipervnculovisitado">
    <w:name w:val="FollowedHyperlink"/>
    <w:basedOn w:val="Fuentedeprrafopredeter"/>
    <w:uiPriority w:val="99"/>
    <w:semiHidden/>
    <w:unhideWhenUsed/>
    <w:rsid w:val="00A616C6"/>
    <w:rPr>
      <w:color w:val="954F72" w:themeColor="followedHyperlink"/>
      <w:u w:val="single"/>
    </w:rPr>
  </w:style>
  <w:style w:type="character" w:customStyle="1" w:styleId="Ttulo1Car">
    <w:name w:val="Título 1 Car"/>
    <w:basedOn w:val="Fuentedeprrafopredeter"/>
    <w:link w:val="Ttulo1"/>
    <w:uiPriority w:val="9"/>
    <w:rsid w:val="00A616C6"/>
    <w:rPr>
      <w:rFonts w:ascii="Times New Roman" w:eastAsia="Times New Roman" w:hAnsi="Times New Roman" w:cs="Times New Roman"/>
      <w:b/>
      <w:bCs/>
      <w:kern w:val="36"/>
      <w:sz w:val="48"/>
      <w:szCs w:val="48"/>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15655">
      <w:bodyDiv w:val="1"/>
      <w:marLeft w:val="0"/>
      <w:marRight w:val="0"/>
      <w:marTop w:val="0"/>
      <w:marBottom w:val="0"/>
      <w:divBdr>
        <w:top w:val="none" w:sz="0" w:space="0" w:color="auto"/>
        <w:left w:val="none" w:sz="0" w:space="0" w:color="auto"/>
        <w:bottom w:val="none" w:sz="0" w:space="0" w:color="auto"/>
        <w:right w:val="none" w:sz="0" w:space="0" w:color="auto"/>
      </w:divBdr>
    </w:div>
    <w:div w:id="155943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ograma.dian.gov.co/dian/compilacion/docs/resolucion_dian_0162_2023.htm" TargetMode="External"/><Relationship Id="rId3" Type="http://schemas.openxmlformats.org/officeDocument/2006/relationships/webSettings" Target="webSettings.xml"/><Relationship Id="rId7" Type="http://schemas.openxmlformats.org/officeDocument/2006/relationships/hyperlink" Target="https://normograma.dian.gov.co/dian/compilacion/docs/constitucion_politica_1991.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ormograma.dian.gov.co/dian/compilacion/docs/concepto_tributario_dian_0000106_2022.htm" TargetMode="External"/><Relationship Id="rId11" Type="http://schemas.openxmlformats.org/officeDocument/2006/relationships/fontTable" Target="fontTable.xml"/><Relationship Id="rId5" Type="http://schemas.openxmlformats.org/officeDocument/2006/relationships/hyperlink" Target="http://www.secretariasenado.gov.co/senado/basedoc/ley_0789_2002.html" TargetMode="External"/><Relationship Id="rId10" Type="http://schemas.openxmlformats.org/officeDocument/2006/relationships/hyperlink" Target="https://actualicese.com/producto/curso-presencial-libro-y-liquidadores-para-presentacion-declaracion-de-renta-de-personas-naturales-ano-gravable-2024/" TargetMode="External"/><Relationship Id="rId4" Type="http://schemas.openxmlformats.org/officeDocument/2006/relationships/hyperlink" Target="https://actualicese.com/cuadro-tematico-con-las-normas-afectadas-por-la-reforma-laboral-2025-ley-2466-de-junio-25-de-2025/" TargetMode="External"/><Relationship Id="rId9" Type="http://schemas.openxmlformats.org/officeDocument/2006/relationships/hyperlink" Target="https://actualicese.com/producto/libro-guia-para-preparar-y-presentar-declaraciones-de-renta-de-personas-naturales-por-el-ano-gravable-2024-con-sus-formatos-2516-y-2517-guia-multiformat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1772</Words>
  <Characters>9748</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8</cp:revision>
  <dcterms:created xsi:type="dcterms:W3CDTF">2025-07-16T17:40:00Z</dcterms:created>
  <dcterms:modified xsi:type="dcterms:W3CDTF">2025-11-20T21:45:00Z</dcterms:modified>
</cp:coreProperties>
</file>